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16" w:rsidRPr="007D2C16" w:rsidRDefault="007D2C16" w:rsidP="007D2C16">
      <w:pPr>
        <w:spacing w:before="100" w:beforeAutospacing="1" w:after="180" w:line="405" w:lineRule="atLeast"/>
        <w:jc w:val="center"/>
        <w:rPr>
          <w:rFonts w:ascii="Goudy Stout" w:eastAsia="Times New Roman" w:hAnsi="Goudy Stout" w:cs="Helvetica"/>
          <w:b/>
          <w:bCs/>
          <w:color w:val="333333"/>
          <w:sz w:val="32"/>
          <w:szCs w:val="32"/>
        </w:rPr>
      </w:pPr>
      <w:r w:rsidRPr="007D2C16">
        <w:rPr>
          <w:rFonts w:ascii="Goudy Stout" w:eastAsia="Times New Roman" w:hAnsi="Goudy Stout" w:cs="Helvetica"/>
          <w:b/>
          <w:bCs/>
          <w:color w:val="333333"/>
          <w:sz w:val="32"/>
          <w:szCs w:val="32"/>
        </w:rPr>
        <w:t>Key Supreme Court Cases</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b/>
          <w:color w:val="333333"/>
          <w:sz w:val="27"/>
          <w:szCs w:val="27"/>
          <w:u w:val="single"/>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Marbury v. Madison (1803, Marshall).</w:t>
      </w:r>
      <w:r w:rsidR="007D2C16" w:rsidRPr="007D2C16">
        <w:rPr>
          <w:rFonts w:ascii="Helvetica" w:eastAsia="Times New Roman" w:hAnsi="Helvetica" w:cs="Helvetica"/>
          <w:color w:val="333333"/>
          <w:sz w:val="27"/>
          <w:szCs w:val="27"/>
        </w:rPr>
        <w:t xml:space="preserve"> The court established its role as the arbiter of the constitutionality of federal laws, the principle is known as </w:t>
      </w:r>
      <w:r w:rsidR="007D2C16">
        <w:rPr>
          <w:rFonts w:ascii="Helvetica" w:eastAsia="Times New Roman" w:hAnsi="Helvetica" w:cs="Helvetica"/>
          <w:color w:val="333333"/>
          <w:sz w:val="27"/>
          <w:szCs w:val="27"/>
        </w:rPr>
        <w:t>“</w:t>
      </w:r>
      <w:r w:rsidR="007D2C16" w:rsidRPr="007D2C16">
        <w:rPr>
          <w:rFonts w:ascii="Helvetica" w:eastAsia="Times New Roman" w:hAnsi="Helvetica" w:cs="Helvetica"/>
          <w:b/>
          <w:color w:val="333333"/>
          <w:sz w:val="27"/>
          <w:szCs w:val="27"/>
          <w:u w:val="single"/>
        </w:rPr>
        <w:t>judicial review</w:t>
      </w:r>
      <w:r w:rsidR="007D2C16" w:rsidRPr="007D2C16">
        <w:rPr>
          <w:rFonts w:ascii="Helvetica" w:eastAsia="Times New Roman" w:hAnsi="Helvetica" w:cs="Helvetica"/>
          <w:b/>
          <w:color w:val="333333"/>
          <w:sz w:val="27"/>
          <w:szCs w:val="27"/>
        </w:rPr>
        <w:t>” </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Fletcher v. Peck (1810, Marshall).</w:t>
      </w:r>
      <w:r w:rsidRPr="007D2C16">
        <w:rPr>
          <w:rFonts w:ascii="Helvetica" w:eastAsia="Times New Roman" w:hAnsi="Helvetica" w:cs="Helvetica"/>
          <w:color w:val="333333"/>
          <w:sz w:val="27"/>
          <w:szCs w:val="27"/>
        </w:rPr>
        <w:t> The decision stems from the Yazoo land cases</w:t>
      </w:r>
      <w:r w:rsidR="00B43A75">
        <w:rPr>
          <w:rFonts w:ascii="Helvetica" w:eastAsia="Times New Roman" w:hAnsi="Helvetica" w:cs="Helvetica"/>
          <w:color w:val="333333"/>
          <w:sz w:val="27"/>
          <w:szCs w:val="27"/>
        </w:rPr>
        <w:t>, 1803, and upholds the use of</w:t>
      </w:r>
      <w:r w:rsidRPr="007D2C16">
        <w:rPr>
          <w:rFonts w:ascii="Helvetica" w:eastAsia="Times New Roman" w:hAnsi="Helvetica" w:cs="Helvetica"/>
          <w:color w:val="333333"/>
          <w:sz w:val="27"/>
          <w:szCs w:val="27"/>
        </w:rPr>
        <w:t xml:space="preserve"> of</w:t>
      </w:r>
      <w:r w:rsidR="00B43A75">
        <w:rPr>
          <w:rFonts w:ascii="Helvetica" w:eastAsia="Times New Roman" w:hAnsi="Helvetica" w:cs="Helvetica"/>
          <w:color w:val="333333"/>
          <w:sz w:val="27"/>
          <w:szCs w:val="27"/>
        </w:rPr>
        <w:t>ficial</w:t>
      </w:r>
      <w:r w:rsidRPr="007D2C16">
        <w:rPr>
          <w:rFonts w:ascii="Helvetica" w:eastAsia="Times New Roman" w:hAnsi="Helvetica" w:cs="Helvetica"/>
          <w:color w:val="333333"/>
          <w:sz w:val="27"/>
          <w:szCs w:val="27"/>
        </w:rPr>
        <w:t xml:space="preserve"> contracts.</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McCulloch v. Maryland (1819, Marshall).</w:t>
      </w:r>
      <w:r w:rsidR="007D2C16" w:rsidRPr="007D2C16">
        <w:rPr>
          <w:rFonts w:ascii="Helvetica" w:eastAsia="Times New Roman" w:hAnsi="Helvetica" w:cs="Helvetica"/>
          <w:color w:val="333333"/>
          <w:sz w:val="27"/>
          <w:szCs w:val="27"/>
        </w:rPr>
        <w:t> The Court ruled that states cannot tax the federal government, i.e. the Bank of the United States; the phrase "the power to tax is the power to destroy"; confirmed the constitutionality of the Bank of the United States.</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Dartmouth College v. Woodward (1819, Marshall).</w:t>
      </w:r>
      <w:r w:rsidR="007D2C16" w:rsidRPr="007D2C16">
        <w:rPr>
          <w:rFonts w:ascii="Helvetica" w:eastAsia="Times New Roman" w:hAnsi="Helvetica" w:cs="Helvetica"/>
          <w:color w:val="333333"/>
          <w:sz w:val="27"/>
          <w:szCs w:val="27"/>
        </w:rPr>
        <w:t> New Hampshire had attempted to take over Dartmouth College by revising its colonial charter. The Court ruled that the charter was protected under the contract clause of the U. S. Constitution; upholds the sanctity of contracts.</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Gibbons v. Ogden (1824, Marshall).</w:t>
      </w:r>
      <w:r w:rsidR="007D2C16" w:rsidRPr="007D2C16">
        <w:rPr>
          <w:rFonts w:ascii="Helvetica" w:eastAsia="Times New Roman" w:hAnsi="Helvetica" w:cs="Helvetica"/>
          <w:color w:val="333333"/>
          <w:sz w:val="27"/>
          <w:szCs w:val="27"/>
        </w:rPr>
        <w:t> Clarified the commerce clause and affirmed Congressional power over interstate commerce.</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Johnson v. McIntosh (1823, Marshall).</w:t>
      </w:r>
      <w:r w:rsidRPr="007D2C16">
        <w:rPr>
          <w:rFonts w:ascii="Helvetica" w:eastAsia="Times New Roman" w:hAnsi="Helvetica" w:cs="Helvetica"/>
          <w:color w:val="333333"/>
          <w:sz w:val="27"/>
          <w:szCs w:val="27"/>
        </w:rPr>
        <w:t> Established that Indian tribes had rights to tribal lands that preceded all other American law; only the federal government could take land from the tribes.</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Cherokee Nation v. Georgia (1831, Marshall).</w:t>
      </w:r>
      <w:r w:rsidR="007D2C16" w:rsidRPr="007D2C16">
        <w:rPr>
          <w:rFonts w:ascii="Helvetica" w:eastAsia="Times New Roman" w:hAnsi="Helvetica" w:cs="Helvetica"/>
          <w:color w:val="333333"/>
          <w:sz w:val="27"/>
          <w:szCs w:val="27"/>
        </w:rPr>
        <w:t> "The conditions of the Indians in relation to the United States is perhaps unlike that of any two people in existence," Chief Justice John Marshall wrote, "their relation to the United States resembles that of a ward to his guardian. . .(they were a) domestic dependent nation." Established a "trust relationship" with the tribes directly under federal authority.</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Worcester v. Georgia (1832, Marshall).</w:t>
      </w:r>
      <w:r w:rsidR="007D2C16" w:rsidRPr="007D2C16">
        <w:rPr>
          <w:rFonts w:ascii="Helvetica" w:eastAsia="Times New Roman" w:hAnsi="Helvetica" w:cs="Helvetica"/>
          <w:color w:val="333333"/>
          <w:sz w:val="27"/>
          <w:szCs w:val="27"/>
        </w:rPr>
        <w:t xml:space="preserve"> Established tribal autonomy within their boundaries, i.e. the tribes </w:t>
      </w:r>
      <w:proofErr w:type="gramStart"/>
      <w:r w:rsidR="007D2C16" w:rsidRPr="007D2C16">
        <w:rPr>
          <w:rFonts w:ascii="Helvetica" w:eastAsia="Times New Roman" w:hAnsi="Helvetica" w:cs="Helvetica"/>
          <w:color w:val="333333"/>
          <w:sz w:val="27"/>
          <w:szCs w:val="27"/>
        </w:rPr>
        <w:t>were</w:t>
      </w:r>
      <w:proofErr w:type="gramEnd"/>
      <w:r w:rsidR="007D2C16" w:rsidRPr="007D2C16">
        <w:rPr>
          <w:rFonts w:ascii="Helvetica" w:eastAsia="Times New Roman" w:hAnsi="Helvetica" w:cs="Helvetica"/>
          <w:color w:val="333333"/>
          <w:sz w:val="27"/>
          <w:szCs w:val="27"/>
        </w:rPr>
        <w:t xml:space="preserve"> "distinct political communities, having territorial boundaries within which their authority is exclusive."</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lastRenderedPageBreak/>
        <w:t>Charles River Bridge v. Warren Bridge (1837, Taney).</w:t>
      </w:r>
      <w:r w:rsidRPr="007D2C16">
        <w:rPr>
          <w:rFonts w:ascii="Helvetica" w:eastAsia="Times New Roman" w:hAnsi="Helvetica" w:cs="Helvetica"/>
          <w:color w:val="333333"/>
          <w:sz w:val="27"/>
          <w:szCs w:val="27"/>
        </w:rPr>
        <w:t> The interests of the community are more important than the interests of business; the supremacy of society’s interest over private interest.</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Commonwealth v. Hunt (1842).</w:t>
      </w:r>
      <w:r w:rsidRPr="007D2C16">
        <w:rPr>
          <w:rFonts w:ascii="Helvetica" w:eastAsia="Times New Roman" w:hAnsi="Helvetica" w:cs="Helvetica"/>
          <w:color w:val="333333"/>
          <w:sz w:val="27"/>
          <w:szCs w:val="27"/>
        </w:rPr>
        <w:t> Declared that labor unions were lawful organizations and that the strike was a lawful weapon.</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Scott v. Sanford (1857, Taney).</w:t>
      </w:r>
      <w:r w:rsidR="007D2C16" w:rsidRPr="007D2C16">
        <w:rPr>
          <w:rFonts w:ascii="Helvetica" w:eastAsia="Times New Roman" w:hAnsi="Helvetica" w:cs="Helvetica"/>
          <w:color w:val="333333"/>
          <w:sz w:val="27"/>
          <w:szCs w:val="27"/>
        </w:rPr>
        <w:t> Speaking for a widely divided court, Chief Justice Taney ruled that Dred Scott was not a citizen and had no standing in court; Scott’s residence in a free state and territory had not made him free since he returned to Missouri; Congress had no power to prohibit slavery in a territory (based on the 5th Amendment right of a person to be secure from seizure of property), thus voiding the Missouri Compromise of 1820.</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Ex parte Milligan (1866).</w:t>
      </w:r>
      <w:r w:rsidRPr="007D2C16">
        <w:rPr>
          <w:rFonts w:ascii="Helvetica" w:eastAsia="Times New Roman" w:hAnsi="Helvetica" w:cs="Helvetica"/>
          <w:color w:val="333333"/>
          <w:sz w:val="27"/>
          <w:szCs w:val="27"/>
        </w:rPr>
        <w:t> Ruled that a civilian cannot be tried in military courts while civil courts are available.</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Civil Rights Cases of 1883. (A single decision on a group of cases with similar legal problems).</w:t>
      </w:r>
      <w:r w:rsidRPr="007D2C16">
        <w:rPr>
          <w:rFonts w:ascii="Helvetica" w:eastAsia="Times New Roman" w:hAnsi="Helvetica" w:cs="Helvetica"/>
          <w:color w:val="333333"/>
          <w:sz w:val="27"/>
          <w:szCs w:val="27"/>
        </w:rPr>
        <w:t> Legalized segregation with regard to private property.</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Wabash, St. Louis, and Pacific Railway Co. v. Illinois (1886).</w:t>
      </w:r>
      <w:r w:rsidRPr="007D2C16">
        <w:rPr>
          <w:rFonts w:ascii="Helvetica" w:eastAsia="Times New Roman" w:hAnsi="Helvetica" w:cs="Helvetica"/>
          <w:color w:val="333333"/>
          <w:sz w:val="27"/>
          <w:szCs w:val="27"/>
        </w:rPr>
        <w:t> Declared state-passed Granger laws that regulated interstate commerce unconstitutional.</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Chicago, Milwaukee and St. Paul Railroad Co. v. Minnesota (1890).</w:t>
      </w:r>
      <w:r w:rsidRPr="007D2C16">
        <w:rPr>
          <w:rFonts w:ascii="Helvetica" w:eastAsia="Times New Roman" w:hAnsi="Helvetica" w:cs="Helvetica"/>
          <w:color w:val="333333"/>
          <w:sz w:val="27"/>
          <w:szCs w:val="27"/>
        </w:rPr>
        <w:t> Found that Granger law regulations were violations of the 5th Amendment right to property.</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Pollock v. The Farmers’ Loan and Trust Co. (1895).</w:t>
      </w:r>
      <w:r w:rsidRPr="007D2C16">
        <w:rPr>
          <w:rFonts w:ascii="Helvetica" w:eastAsia="Times New Roman" w:hAnsi="Helvetica" w:cs="Helvetica"/>
          <w:color w:val="333333"/>
          <w:sz w:val="27"/>
          <w:szCs w:val="27"/>
        </w:rPr>
        <w:t> Declared the income tax under the Wilson-Gorman Tariff to be unconstitutional.</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U. S. v. E. C. Knight Co. (1895).</w:t>
      </w:r>
      <w:r w:rsidRPr="007D2C16">
        <w:rPr>
          <w:rFonts w:ascii="Helvetica" w:eastAsia="Times New Roman" w:hAnsi="Helvetica" w:cs="Helvetica"/>
          <w:color w:val="333333"/>
          <w:sz w:val="27"/>
          <w:szCs w:val="27"/>
        </w:rPr>
        <w:t> Due to a narrow interpretation of the Sherman Anti-Trust Act, the Court undermined the authority of the federal government to act against monopolies.</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lastRenderedPageBreak/>
        <w:t xml:space="preserve">*** </w:t>
      </w:r>
      <w:r w:rsidR="007D2C16" w:rsidRPr="007D2C16">
        <w:rPr>
          <w:rFonts w:ascii="Helvetica" w:eastAsia="Times New Roman" w:hAnsi="Helvetica" w:cs="Helvetica"/>
          <w:b/>
          <w:bCs/>
          <w:color w:val="333333"/>
          <w:sz w:val="27"/>
          <w:szCs w:val="27"/>
        </w:rPr>
        <w:t>Plessy v. Ferguson (1896).</w:t>
      </w:r>
      <w:r w:rsidR="007D2C16" w:rsidRPr="007D2C16">
        <w:rPr>
          <w:rFonts w:ascii="Helvetica" w:eastAsia="Times New Roman" w:hAnsi="Helvetica" w:cs="Helvetica"/>
          <w:color w:val="333333"/>
          <w:sz w:val="27"/>
          <w:szCs w:val="27"/>
        </w:rPr>
        <w:t> Legalized segregation in publicly owned facilities on the basis of "separate but equal."</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 xml:space="preserve">"Insular Cases" / </w:t>
      </w:r>
      <w:proofErr w:type="spellStart"/>
      <w:r w:rsidRPr="007D2C16">
        <w:rPr>
          <w:rFonts w:ascii="Helvetica" w:eastAsia="Times New Roman" w:hAnsi="Helvetica" w:cs="Helvetica"/>
          <w:b/>
          <w:bCs/>
          <w:color w:val="333333"/>
          <w:sz w:val="27"/>
          <w:szCs w:val="27"/>
        </w:rPr>
        <w:t>Downes</w:t>
      </w:r>
      <w:proofErr w:type="spellEnd"/>
      <w:r w:rsidRPr="007D2C16">
        <w:rPr>
          <w:rFonts w:ascii="Helvetica" w:eastAsia="Times New Roman" w:hAnsi="Helvetica" w:cs="Helvetica"/>
          <w:b/>
          <w:bCs/>
          <w:color w:val="333333"/>
          <w:sz w:val="27"/>
          <w:szCs w:val="27"/>
        </w:rPr>
        <w:t xml:space="preserve"> v. Bidwell (1901).</w:t>
      </w:r>
      <w:r w:rsidRPr="007D2C16">
        <w:rPr>
          <w:rFonts w:ascii="Helvetica" w:eastAsia="Times New Roman" w:hAnsi="Helvetica" w:cs="Helvetica"/>
          <w:color w:val="333333"/>
          <w:sz w:val="27"/>
          <w:szCs w:val="27"/>
        </w:rPr>
        <w:t> Confirmed the right of the federal government to place tariffs on good entering the U. S. From U. S. Territories on the grounds that "the Constitution does not follow the flag."</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Northern Securities Co. v. U. S. (1904).</w:t>
      </w:r>
      <w:r w:rsidRPr="007D2C16">
        <w:rPr>
          <w:rFonts w:ascii="Helvetica" w:eastAsia="Times New Roman" w:hAnsi="Helvetica" w:cs="Helvetica"/>
          <w:color w:val="333333"/>
          <w:sz w:val="27"/>
          <w:szCs w:val="27"/>
        </w:rPr>
        <w:t> Re-established the authority of the federal government to fight monopolies under the Sherman Anti-Trust Act.</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proofErr w:type="spellStart"/>
      <w:r w:rsidRPr="007D2C16">
        <w:rPr>
          <w:rFonts w:ascii="Helvetica" w:eastAsia="Times New Roman" w:hAnsi="Helvetica" w:cs="Helvetica"/>
          <w:b/>
          <w:bCs/>
          <w:color w:val="333333"/>
          <w:sz w:val="27"/>
          <w:szCs w:val="27"/>
        </w:rPr>
        <w:t>Lochner</w:t>
      </w:r>
      <w:proofErr w:type="spellEnd"/>
      <w:r w:rsidRPr="007D2C16">
        <w:rPr>
          <w:rFonts w:ascii="Helvetica" w:eastAsia="Times New Roman" w:hAnsi="Helvetica" w:cs="Helvetica"/>
          <w:b/>
          <w:bCs/>
          <w:color w:val="333333"/>
          <w:sz w:val="27"/>
          <w:szCs w:val="27"/>
        </w:rPr>
        <w:t xml:space="preserve"> v. New York (1905).</w:t>
      </w:r>
      <w:r w:rsidRPr="007D2C16">
        <w:rPr>
          <w:rFonts w:ascii="Helvetica" w:eastAsia="Times New Roman" w:hAnsi="Helvetica" w:cs="Helvetica"/>
          <w:color w:val="333333"/>
          <w:sz w:val="27"/>
          <w:szCs w:val="27"/>
        </w:rPr>
        <w:t> Declared unconstitutional a New York act limiting the working hours of bakers due to a denial of the 14th Amendment rights.</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Muller v. Oregon (1908).</w:t>
      </w:r>
      <w:r w:rsidRPr="007D2C16">
        <w:rPr>
          <w:rFonts w:ascii="Helvetica" w:eastAsia="Times New Roman" w:hAnsi="Helvetica" w:cs="Helvetica"/>
          <w:color w:val="333333"/>
          <w:sz w:val="27"/>
          <w:szCs w:val="27"/>
        </w:rPr>
        <w:t> First case to use the "Brandeis brief"; recognized a 10-hour work day for women laundry workers on the grounds of health and community concerns.</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 xml:space="preserve">Hammer v. </w:t>
      </w:r>
      <w:proofErr w:type="spellStart"/>
      <w:r w:rsidRPr="007D2C16">
        <w:rPr>
          <w:rFonts w:ascii="Helvetica" w:eastAsia="Times New Roman" w:hAnsi="Helvetica" w:cs="Helvetica"/>
          <w:b/>
          <w:bCs/>
          <w:color w:val="333333"/>
          <w:sz w:val="27"/>
          <w:szCs w:val="27"/>
        </w:rPr>
        <w:t>Dagenhart</w:t>
      </w:r>
      <w:proofErr w:type="spellEnd"/>
      <w:r w:rsidRPr="007D2C16">
        <w:rPr>
          <w:rFonts w:ascii="Helvetica" w:eastAsia="Times New Roman" w:hAnsi="Helvetica" w:cs="Helvetica"/>
          <w:b/>
          <w:bCs/>
          <w:color w:val="333333"/>
          <w:sz w:val="27"/>
          <w:szCs w:val="27"/>
        </w:rPr>
        <w:t xml:space="preserve"> (1918).</w:t>
      </w:r>
      <w:r w:rsidRPr="007D2C16">
        <w:rPr>
          <w:rFonts w:ascii="Helvetica" w:eastAsia="Times New Roman" w:hAnsi="Helvetica" w:cs="Helvetica"/>
          <w:color w:val="333333"/>
          <w:sz w:val="27"/>
          <w:szCs w:val="27"/>
        </w:rPr>
        <w:t> Declared the Keating-Owen Act (a child labor act) unconstitutional on the grounds that it was an invasion of state authority.</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proofErr w:type="spellStart"/>
      <w:r w:rsidR="007D2C16" w:rsidRPr="007D2C16">
        <w:rPr>
          <w:rFonts w:ascii="Helvetica" w:eastAsia="Times New Roman" w:hAnsi="Helvetica" w:cs="Helvetica"/>
          <w:b/>
          <w:bCs/>
          <w:color w:val="333333"/>
          <w:sz w:val="27"/>
          <w:szCs w:val="27"/>
        </w:rPr>
        <w:t>Schenck</w:t>
      </w:r>
      <w:proofErr w:type="spellEnd"/>
      <w:r w:rsidR="007D2C16" w:rsidRPr="007D2C16">
        <w:rPr>
          <w:rFonts w:ascii="Helvetica" w:eastAsia="Times New Roman" w:hAnsi="Helvetica" w:cs="Helvetica"/>
          <w:b/>
          <w:bCs/>
          <w:color w:val="333333"/>
          <w:sz w:val="27"/>
          <w:szCs w:val="27"/>
        </w:rPr>
        <w:t xml:space="preserve"> v. U. S. (1919).</w:t>
      </w:r>
      <w:r w:rsidR="007D2C16" w:rsidRPr="007D2C16">
        <w:rPr>
          <w:rFonts w:ascii="Helvetica" w:eastAsia="Times New Roman" w:hAnsi="Helvetica" w:cs="Helvetica"/>
          <w:color w:val="333333"/>
          <w:sz w:val="27"/>
          <w:szCs w:val="27"/>
        </w:rPr>
        <w:t> Unanimously upheld the Espionage Act of 1917 which declared that people who interfered with the war effort were subject to imprisonment; declared that the 1st Amendment right to freedom of speech was not absolute; free speech could be limited if its exercise presented a "clear and present danger."</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Adkins v. Children’s Hospital (1923).</w:t>
      </w:r>
      <w:r w:rsidRPr="007D2C16">
        <w:rPr>
          <w:rFonts w:ascii="Helvetica" w:eastAsia="Times New Roman" w:hAnsi="Helvetica" w:cs="Helvetica"/>
          <w:color w:val="333333"/>
          <w:sz w:val="27"/>
          <w:szCs w:val="27"/>
        </w:rPr>
        <w:t> Declared unconstitutional a minimum wage law for women on the grounds that it denied women freedom of contract.</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Schechter v. U. S. (1936).</w:t>
      </w:r>
      <w:r w:rsidRPr="007D2C16">
        <w:rPr>
          <w:rFonts w:ascii="Helvetica" w:eastAsia="Times New Roman" w:hAnsi="Helvetica" w:cs="Helvetica"/>
          <w:color w:val="333333"/>
          <w:sz w:val="27"/>
          <w:szCs w:val="27"/>
        </w:rPr>
        <w:t xml:space="preserve"> Sometimes called "the sick chicken case." Unanimously declared the National Industrial Recovery Act (NIRA) unconstitutional on three grounds: that the act delegated legislative power to the executive; that there was a lack of constitutional authority for such </w:t>
      </w:r>
      <w:r w:rsidRPr="007D2C16">
        <w:rPr>
          <w:rFonts w:ascii="Helvetica" w:eastAsia="Times New Roman" w:hAnsi="Helvetica" w:cs="Helvetica"/>
          <w:color w:val="333333"/>
          <w:sz w:val="27"/>
          <w:szCs w:val="27"/>
        </w:rPr>
        <w:lastRenderedPageBreak/>
        <w:t>legislation; and that it sought to regulate businesses that were wholly intrastate in character.</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proofErr w:type="spellStart"/>
      <w:r w:rsidR="007D2C16" w:rsidRPr="007D2C16">
        <w:rPr>
          <w:rFonts w:ascii="Helvetica" w:eastAsia="Times New Roman" w:hAnsi="Helvetica" w:cs="Helvetica"/>
          <w:b/>
          <w:bCs/>
          <w:color w:val="333333"/>
          <w:sz w:val="27"/>
          <w:szCs w:val="27"/>
        </w:rPr>
        <w:t>Korematsu</w:t>
      </w:r>
      <w:proofErr w:type="spellEnd"/>
      <w:r w:rsidR="007D2C16" w:rsidRPr="007D2C16">
        <w:rPr>
          <w:rFonts w:ascii="Helvetica" w:eastAsia="Times New Roman" w:hAnsi="Helvetica" w:cs="Helvetica"/>
          <w:b/>
          <w:bCs/>
          <w:color w:val="333333"/>
          <w:sz w:val="27"/>
          <w:szCs w:val="27"/>
        </w:rPr>
        <w:t xml:space="preserve"> v. U. S. (1941).</w:t>
      </w:r>
      <w:r w:rsidR="007D2C16" w:rsidRPr="007D2C16">
        <w:rPr>
          <w:rFonts w:ascii="Helvetica" w:eastAsia="Times New Roman" w:hAnsi="Helvetica" w:cs="Helvetica"/>
          <w:color w:val="333333"/>
          <w:sz w:val="27"/>
          <w:szCs w:val="27"/>
        </w:rPr>
        <w:t> The court upheld the constitutionality of detention camps for Japanese-Americans during World War 2.</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Ex parte Endo (1944).</w:t>
      </w:r>
      <w:r w:rsidRPr="007D2C16">
        <w:rPr>
          <w:rFonts w:ascii="Helvetica" w:eastAsia="Times New Roman" w:hAnsi="Helvetica" w:cs="Helvetica"/>
          <w:color w:val="333333"/>
          <w:sz w:val="27"/>
          <w:szCs w:val="27"/>
        </w:rPr>
        <w:t> The court forbade the internment of Japanese-Americans born in the U. S. (Nisei)</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Brown v. Board of Education of Topeka, Kansas (1954, Warren).</w:t>
      </w:r>
      <w:r w:rsidR="007D2C16" w:rsidRPr="007D2C16">
        <w:rPr>
          <w:rFonts w:ascii="Helvetica" w:eastAsia="Times New Roman" w:hAnsi="Helvetica" w:cs="Helvetica"/>
          <w:color w:val="333333"/>
          <w:sz w:val="27"/>
          <w:szCs w:val="27"/>
        </w:rPr>
        <w:t> Unanimous decision declaring "separate but equal" unconstitutional.</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bookmarkStart w:id="0" w:name="_GoBack"/>
      <w:bookmarkEnd w:id="0"/>
      <w:r w:rsidR="007D2C16" w:rsidRPr="007D2C16">
        <w:rPr>
          <w:rFonts w:ascii="Helvetica" w:eastAsia="Times New Roman" w:hAnsi="Helvetica" w:cs="Helvetica"/>
          <w:b/>
          <w:bCs/>
          <w:color w:val="333333"/>
          <w:sz w:val="27"/>
          <w:szCs w:val="27"/>
        </w:rPr>
        <w:t>Gideon v. Wainwright (1963).</w:t>
      </w:r>
      <w:r w:rsidR="007D2C16" w:rsidRPr="007D2C16">
        <w:rPr>
          <w:rFonts w:ascii="Helvetica" w:eastAsia="Times New Roman" w:hAnsi="Helvetica" w:cs="Helvetica"/>
          <w:color w:val="333333"/>
          <w:sz w:val="27"/>
          <w:szCs w:val="27"/>
        </w:rPr>
        <w:t> Extends to the defendant the right of counsel in all state and federal criminal trials regardless of their ability to pay.</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Escobedo v. Illinois (1964).</w:t>
      </w:r>
      <w:r w:rsidRPr="007D2C16">
        <w:rPr>
          <w:rFonts w:ascii="Helvetica" w:eastAsia="Times New Roman" w:hAnsi="Helvetica" w:cs="Helvetica"/>
          <w:color w:val="333333"/>
          <w:sz w:val="27"/>
          <w:szCs w:val="27"/>
        </w:rPr>
        <w:t> Ruled that a defendant must be allowed access to a lawyer before questioning by police.</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Miranda v. Arizona (1966).</w:t>
      </w:r>
      <w:r w:rsidR="007D2C16" w:rsidRPr="007D2C16">
        <w:rPr>
          <w:rFonts w:ascii="Helvetica" w:eastAsia="Times New Roman" w:hAnsi="Helvetica" w:cs="Helvetica"/>
          <w:color w:val="333333"/>
          <w:sz w:val="27"/>
          <w:szCs w:val="27"/>
        </w:rPr>
        <w:t> The court ruled that those subjected to in-custody interrogation be advised of their constitutional right to an attorney and their right to remain silent.</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Roe v. Wade (1973).</w:t>
      </w:r>
      <w:r w:rsidR="007D2C16" w:rsidRPr="007D2C16">
        <w:rPr>
          <w:rFonts w:ascii="Helvetica" w:eastAsia="Times New Roman" w:hAnsi="Helvetica" w:cs="Helvetica"/>
          <w:color w:val="333333"/>
          <w:sz w:val="27"/>
          <w:szCs w:val="27"/>
        </w:rPr>
        <w:t> The court legalized abortion by ruling that state laws could not restrict it during the first three months of pregnancy. Based on 4th Amendment rights of a person to be secure in their persons.</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U. S. v. Richard Nixon (1974).</w:t>
      </w:r>
      <w:r w:rsidRPr="007D2C16">
        <w:rPr>
          <w:rFonts w:ascii="Helvetica" w:eastAsia="Times New Roman" w:hAnsi="Helvetica" w:cs="Helvetica"/>
          <w:color w:val="333333"/>
          <w:sz w:val="27"/>
          <w:szCs w:val="27"/>
        </w:rPr>
        <w:t> The court rejected Richard Nixon’s claim to an absolutely unqualified privilege against any judicial process.</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Bakke v. Regents of the University of California (1978).</w:t>
      </w:r>
      <w:r w:rsidRPr="007D2C16">
        <w:rPr>
          <w:rFonts w:ascii="Helvetica" w:eastAsia="Times New Roman" w:hAnsi="Helvetica" w:cs="Helvetica"/>
          <w:color w:val="333333"/>
          <w:sz w:val="27"/>
          <w:szCs w:val="27"/>
        </w:rPr>
        <w:t> Ambiguous ruling by a badly divided court that dealt with affirmative action programs that used race as a basis of selecting participants. The court general upheld affirmative action, but with a 4/4/1 split, it was a very weak decision.</w:t>
      </w:r>
    </w:p>
    <w:p w:rsidR="007D2C16" w:rsidRPr="007D2C16" w:rsidRDefault="007D2C16"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sidRPr="007D2C16">
        <w:rPr>
          <w:rFonts w:ascii="Helvetica" w:eastAsia="Times New Roman" w:hAnsi="Helvetica" w:cs="Helvetica"/>
          <w:b/>
          <w:bCs/>
          <w:color w:val="333333"/>
          <w:sz w:val="27"/>
          <w:szCs w:val="27"/>
        </w:rPr>
        <w:t>Clinton v. Jones (1997).</w:t>
      </w:r>
      <w:r w:rsidRPr="007D2C16">
        <w:rPr>
          <w:rFonts w:ascii="Helvetica" w:eastAsia="Times New Roman" w:hAnsi="Helvetica" w:cs="Helvetica"/>
          <w:color w:val="333333"/>
          <w:sz w:val="27"/>
          <w:szCs w:val="27"/>
        </w:rPr>
        <w:t xml:space="preserve"> Rejecting an appeal by Pres. Clinton in a sexual harassment suit, the Court ruled that a sitting president did not have </w:t>
      </w:r>
      <w:r w:rsidRPr="007D2C16">
        <w:rPr>
          <w:rFonts w:ascii="Helvetica" w:eastAsia="Times New Roman" w:hAnsi="Helvetica" w:cs="Helvetica"/>
          <w:color w:val="333333"/>
          <w:sz w:val="27"/>
          <w:szCs w:val="27"/>
        </w:rPr>
        <w:lastRenderedPageBreak/>
        <w:t>temporary immunity from a lawsuit for actions outside the realm of official duties.</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Boy Scouts of America v. Dale (2000).</w:t>
      </w:r>
      <w:r w:rsidR="007D2C16" w:rsidRPr="007D2C16">
        <w:rPr>
          <w:rFonts w:ascii="Helvetica" w:eastAsia="Times New Roman" w:hAnsi="Helvetica" w:cs="Helvetica"/>
          <w:color w:val="333333"/>
          <w:sz w:val="27"/>
          <w:szCs w:val="27"/>
        </w:rPr>
        <w:t> The Court ruled that the Boy Scouts of America could dismiss a troop leader after learning he was gay, holding that the right to freedom of association outweighed a New Jersey anti - discrimination statute.</w:t>
      </w:r>
    </w:p>
    <w:p w:rsidR="007D2C16" w:rsidRPr="007D2C16" w:rsidRDefault="00307894" w:rsidP="007D2C16">
      <w:pPr>
        <w:numPr>
          <w:ilvl w:val="0"/>
          <w:numId w:val="1"/>
        </w:numPr>
        <w:spacing w:before="100" w:beforeAutospacing="1" w:after="180" w:line="405" w:lineRule="atLeast"/>
        <w:ind w:left="0"/>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007D2C16" w:rsidRPr="007D2C16">
        <w:rPr>
          <w:rFonts w:ascii="Helvetica" w:eastAsia="Times New Roman" w:hAnsi="Helvetica" w:cs="Helvetica"/>
          <w:b/>
          <w:bCs/>
          <w:color w:val="333333"/>
          <w:sz w:val="27"/>
          <w:szCs w:val="27"/>
        </w:rPr>
        <w:t>Bush v. Gore (2000).</w:t>
      </w:r>
      <w:r w:rsidR="007D2C16" w:rsidRPr="007D2C16">
        <w:rPr>
          <w:rFonts w:ascii="Helvetica" w:eastAsia="Times New Roman" w:hAnsi="Helvetica" w:cs="Helvetica"/>
          <w:color w:val="333333"/>
          <w:sz w:val="27"/>
          <w:szCs w:val="27"/>
        </w:rPr>
        <w:t> The court ruled that manual recounts of presidential ballots in the Nov. 2000 election could not proceed because inconsistent evaluation standards in different counties violated the equal protection clause. In effect, the ruling meant Bush would win the election.</w:t>
      </w:r>
    </w:p>
    <w:p w:rsidR="001A350E" w:rsidRDefault="00307894"/>
    <w:sectPr w:rsidR="001A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22EA"/>
    <w:multiLevelType w:val="multilevel"/>
    <w:tmpl w:val="5560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16"/>
    <w:rsid w:val="00307894"/>
    <w:rsid w:val="007D2C16"/>
    <w:rsid w:val="0081358C"/>
    <w:rsid w:val="00944EFE"/>
    <w:rsid w:val="00955DE4"/>
    <w:rsid w:val="00B4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 ZARA</dc:creator>
  <cp:lastModifiedBy>KATHRYN L ZARA</cp:lastModifiedBy>
  <cp:revision>4</cp:revision>
  <dcterms:created xsi:type="dcterms:W3CDTF">2015-04-16T16:17:00Z</dcterms:created>
  <dcterms:modified xsi:type="dcterms:W3CDTF">2015-04-16T17:03:00Z</dcterms:modified>
</cp:coreProperties>
</file>